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7C4750" w:rsidP="00F76DE1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А.1. Основы промышленной безопасности</w:t>
      </w:r>
    </w:p>
    <w:p w:rsidR="00F76DE1" w:rsidRPr="00F76DE1" w:rsidRDefault="00F76DE1" w:rsidP="00F76DE1">
      <w:pPr>
        <w:shd w:val="clear" w:color="auto" w:fill="FCFCFC"/>
        <w:spacing w:after="75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 xml:space="preserve">, заочная, с применением </w:t>
      </w:r>
      <w:bookmarkStart w:id="0" w:name="_GoBack"/>
      <w:bookmarkEnd w:id="0"/>
      <w:r w:rsidR="007C4750">
        <w:rPr>
          <w:rFonts w:ascii="Georgia" w:hAnsi="Georgia" w:cs="Arial"/>
          <w:color w:val="333333"/>
        </w:rPr>
        <w:t>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7C4750">
        <w:rPr>
          <w:rFonts w:ascii="Georgia" w:hAnsi="Georgia" w:cs="Arial"/>
          <w:color w:val="333333"/>
        </w:rPr>
        <w:t>24</w:t>
      </w:r>
      <w:r>
        <w:rPr>
          <w:rFonts w:ascii="Georgia" w:hAnsi="Georgia" w:cs="Arial"/>
          <w:color w:val="333333"/>
        </w:rPr>
        <w:t xml:space="preserve"> час</w:t>
      </w:r>
      <w:r w:rsidR="007C4750">
        <w:rPr>
          <w:rFonts w:ascii="Georgia" w:hAnsi="Georgia" w:cs="Arial"/>
          <w:color w:val="333333"/>
        </w:rPr>
        <w:t>а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Российское законодательство в области промышленной безопасности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Российское законодательство в области градостроительной деятельности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Техническое регулирование. Требования к техническим устройствам, применяемым на опасных производственных объектах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Лицензирование в области промышленной безопасности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5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Порядок расследования причин аварий и несчастных случаев на опасных производственных объектах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6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Обязательное страхование гражданской ответственности за причинение вреда при эксплуатации опасного производственного объекта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7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Регистрация опасных производственных объектов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8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Обязанности организаций в обеспечении промышленной безопасности. Ответственность за нарушение законодательства в области промышленной безопасности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9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Экспертиза промышленной безопасности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</w:p>
    <w:p w:rsidR="00115280" w:rsidRDefault="007C4750" w:rsidP="009077D7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10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  <w:t>Декларирование промышленной безопасности. Анализ опасности и риска</w:t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7C4750">
        <w:rPr>
          <w:rFonts w:ascii="Georgia" w:hAnsi="Georgia" w:cs="Arial"/>
          <w:color w:val="333333"/>
          <w:shd w:val="clear" w:color="auto" w:fill="FFFFFF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7C4750"/>
    <w:rsid w:val="00875415"/>
    <w:rsid w:val="009077D7"/>
    <w:rsid w:val="00A12391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Антонович Олеся Александровна</cp:lastModifiedBy>
  <cp:revision>5</cp:revision>
  <cp:lastPrinted>2022-04-04T11:55:00Z</cp:lastPrinted>
  <dcterms:created xsi:type="dcterms:W3CDTF">2019-03-21T12:01:00Z</dcterms:created>
  <dcterms:modified xsi:type="dcterms:W3CDTF">2022-04-04T12:03:00Z</dcterms:modified>
</cp:coreProperties>
</file>